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9F" w:rsidRPr="001070F7" w:rsidRDefault="00007A9F" w:rsidP="00007A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0F7">
        <w:rPr>
          <w:b/>
          <w:sz w:val="28"/>
          <w:szCs w:val="28"/>
        </w:rPr>
        <w:t>Harmonogram realizacji planu komunikacji</w:t>
      </w:r>
      <w:r>
        <w:rPr>
          <w:b/>
          <w:sz w:val="28"/>
          <w:szCs w:val="28"/>
        </w:rPr>
        <w:t xml:space="preserve"> na 2019</w:t>
      </w:r>
      <w:r w:rsidRPr="001070F7">
        <w:rPr>
          <w:b/>
          <w:sz w:val="28"/>
          <w:szCs w:val="28"/>
        </w:rPr>
        <w:t xml:space="preserve"> rok</w:t>
      </w:r>
    </w:p>
    <w:p w:rsidR="00445720" w:rsidRDefault="00007A9F" w:rsidP="00007A9F">
      <w:pPr>
        <w:tabs>
          <w:tab w:val="left" w:pos="1929"/>
        </w:tabs>
        <w:jc w:val="center"/>
        <w:rPr>
          <w:b/>
          <w:sz w:val="28"/>
          <w:szCs w:val="28"/>
        </w:rPr>
      </w:pPr>
      <w:r w:rsidRPr="001070F7">
        <w:rPr>
          <w:b/>
          <w:sz w:val="28"/>
          <w:szCs w:val="28"/>
        </w:rPr>
        <w:t>LGD Krajna Złotowska</w:t>
      </w:r>
    </w:p>
    <w:p w:rsidR="00007A9F" w:rsidRDefault="00007A9F" w:rsidP="00007A9F">
      <w:pPr>
        <w:tabs>
          <w:tab w:val="left" w:pos="1929"/>
        </w:tabs>
        <w:rPr>
          <w:rFonts w:eastAsia="Times New Roman"/>
          <w:lang w:eastAsia="pl-PL"/>
        </w:rPr>
      </w:pPr>
    </w:p>
    <w:p w:rsidR="00007A9F" w:rsidRPr="000E2000" w:rsidRDefault="00007A9F" w:rsidP="00007A9F">
      <w:pPr>
        <w:tabs>
          <w:tab w:val="left" w:pos="1929"/>
        </w:tabs>
        <w:rPr>
          <w:rFonts w:eastAsia="Times New Roman"/>
          <w:lang w:eastAsia="pl-P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1984"/>
        <w:gridCol w:w="2835"/>
        <w:gridCol w:w="1134"/>
        <w:gridCol w:w="1843"/>
        <w:gridCol w:w="2268"/>
      </w:tblGrid>
      <w:tr w:rsidR="00445720" w:rsidRPr="00262ACD" w:rsidTr="00445720">
        <w:tc>
          <w:tcPr>
            <w:tcW w:w="1134" w:type="dxa"/>
            <w:shd w:val="clear" w:color="auto" w:fill="92D050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b/>
                <w:lang w:eastAsia="pl-PL"/>
              </w:rPr>
            </w:pPr>
            <w:r w:rsidRPr="00D83372">
              <w:rPr>
                <w:rFonts w:eastAsia="Times New Roman"/>
                <w:b/>
                <w:lang w:eastAsia="pl-PL"/>
              </w:rPr>
              <w:t>Terminy</w:t>
            </w:r>
          </w:p>
        </w:tc>
        <w:tc>
          <w:tcPr>
            <w:tcW w:w="1701" w:type="dxa"/>
            <w:shd w:val="clear" w:color="auto" w:fill="92D050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b/>
                <w:lang w:eastAsia="pl-PL"/>
              </w:rPr>
            </w:pPr>
            <w:r w:rsidRPr="00D83372">
              <w:rPr>
                <w:rFonts w:eastAsia="Times New Roman"/>
                <w:b/>
                <w:lang w:eastAsia="pl-PL"/>
              </w:rPr>
              <w:t>Cel komunikacji</w:t>
            </w:r>
          </w:p>
        </w:tc>
        <w:tc>
          <w:tcPr>
            <w:tcW w:w="1985" w:type="dxa"/>
            <w:shd w:val="clear" w:color="auto" w:fill="92D050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b/>
                <w:lang w:eastAsia="pl-PL"/>
              </w:rPr>
            </w:pPr>
            <w:r w:rsidRPr="00D83372">
              <w:rPr>
                <w:rFonts w:eastAsia="Times New Roman"/>
                <w:b/>
                <w:lang w:eastAsia="pl-PL"/>
              </w:rPr>
              <w:t>Nazwa działania komunikacyjnego</w:t>
            </w:r>
          </w:p>
        </w:tc>
        <w:tc>
          <w:tcPr>
            <w:tcW w:w="1984" w:type="dxa"/>
            <w:shd w:val="clear" w:color="auto" w:fill="92D050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b/>
                <w:lang w:eastAsia="pl-PL"/>
              </w:rPr>
            </w:pPr>
            <w:r w:rsidRPr="00D83372">
              <w:rPr>
                <w:rFonts w:eastAsia="Times New Roman"/>
                <w:b/>
                <w:lang w:eastAsia="pl-PL"/>
              </w:rPr>
              <w:t>Adresaci działania komunikacyjnego (grupy docelowe)</w:t>
            </w:r>
          </w:p>
        </w:tc>
        <w:tc>
          <w:tcPr>
            <w:tcW w:w="2835" w:type="dxa"/>
            <w:shd w:val="clear" w:color="auto" w:fill="92D050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b/>
                <w:lang w:eastAsia="pl-PL"/>
              </w:rPr>
            </w:pPr>
            <w:r w:rsidRPr="00D83372">
              <w:rPr>
                <w:rFonts w:eastAsia="Times New Roman"/>
                <w:b/>
                <w:lang w:eastAsia="pl-PL"/>
              </w:rPr>
              <w:t>Narzędzia i środki przekazu</w:t>
            </w:r>
          </w:p>
        </w:tc>
        <w:tc>
          <w:tcPr>
            <w:tcW w:w="1134" w:type="dxa"/>
            <w:shd w:val="clear" w:color="auto" w:fill="92D050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b/>
                <w:lang w:eastAsia="pl-PL"/>
              </w:rPr>
            </w:pPr>
            <w:r w:rsidRPr="00D83372">
              <w:rPr>
                <w:rFonts w:eastAsia="Times New Roman"/>
                <w:b/>
                <w:lang w:eastAsia="pl-PL"/>
              </w:rPr>
              <w:t>Budżet w zł</w:t>
            </w:r>
          </w:p>
        </w:tc>
        <w:tc>
          <w:tcPr>
            <w:tcW w:w="1843" w:type="dxa"/>
            <w:shd w:val="clear" w:color="auto" w:fill="92D050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b/>
                <w:lang w:eastAsia="pl-PL"/>
              </w:rPr>
            </w:pPr>
            <w:r w:rsidRPr="00D83372">
              <w:rPr>
                <w:rFonts w:eastAsia="Times New Roman"/>
                <w:b/>
                <w:lang w:eastAsia="pl-PL"/>
              </w:rPr>
              <w:t xml:space="preserve">Zakładane wskaźniki </w:t>
            </w:r>
          </w:p>
        </w:tc>
        <w:tc>
          <w:tcPr>
            <w:tcW w:w="2268" w:type="dxa"/>
            <w:shd w:val="clear" w:color="auto" w:fill="92D050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b/>
                <w:lang w:eastAsia="pl-PL"/>
              </w:rPr>
            </w:pPr>
            <w:r w:rsidRPr="00D83372">
              <w:rPr>
                <w:rFonts w:eastAsia="Times New Roman"/>
                <w:b/>
                <w:lang w:eastAsia="pl-PL"/>
              </w:rPr>
              <w:t>Badanie efektywności działań komunikacyjnych</w:t>
            </w:r>
          </w:p>
        </w:tc>
      </w:tr>
      <w:tr w:rsidR="00445720" w:rsidRPr="00262ACD" w:rsidTr="00445720">
        <w:trPr>
          <w:trHeight w:val="32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II połowa każdego roku naborów do końca realizacji LSR – zgodnie z planem działania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Poinformowanie potencjalnych beneficjentów o naborach i możliwości realizacji operacji – w ramach wszystkich celów LSR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Kampania informacyjna LGD w zakresie naborów wniosków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Potencjalni wnioskodawcy i ich otoczenie: m</w:t>
            </w:r>
            <w:r w:rsidRPr="00D83372">
              <w:rPr>
                <w:rFonts w:eastAsia="Times New Roman"/>
                <w:lang w:eastAsia="pl-PL"/>
              </w:rPr>
              <w:t xml:space="preserve">ieszkańcy, przedsiębiorcy, </w:t>
            </w:r>
            <w:r w:rsidRPr="00262ACD">
              <w:rPr>
                <w:rFonts w:eastAsia="Times New Roman"/>
                <w:lang w:eastAsia="pl-PL"/>
              </w:rPr>
              <w:t xml:space="preserve">władze publiczne, </w:t>
            </w:r>
            <w:r w:rsidRPr="00D83372">
              <w:rPr>
                <w:rFonts w:eastAsia="Times New Roman"/>
                <w:lang w:eastAsia="pl-PL"/>
              </w:rPr>
              <w:t xml:space="preserve">rolnicy, organizacje pozarządowe, grupy </w:t>
            </w:r>
            <w:proofErr w:type="spellStart"/>
            <w:r w:rsidRPr="00D83372">
              <w:rPr>
                <w:rFonts w:eastAsia="Times New Roman"/>
                <w:lang w:eastAsia="pl-PL"/>
              </w:rPr>
              <w:t>defaworyzowane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Artykuły w prasie lokalnej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2 artykuły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Informacja zwrotna w drodze ankiety wypełnianej po spotkaniach informacyjno-konsultacyjnych, ankieta internetowa.</w:t>
            </w:r>
          </w:p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Informacja zwrotna dotycząca ilości złożonych wniosków o dofinansowanie na poszczególne przedsięwzięcia oraz ilości udzielonego doradztwa.</w:t>
            </w:r>
          </w:p>
        </w:tc>
      </w:tr>
      <w:tr w:rsidR="00445720" w:rsidRPr="00262ACD" w:rsidTr="00445720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Ogłoszenia o naborach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8000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1 ogłoszenie w ramach każdego naboru w prasie o zasięgu obejmującym obszar LSR</w:t>
            </w:r>
          </w:p>
        </w:tc>
        <w:tc>
          <w:tcPr>
            <w:tcW w:w="2268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</w:tr>
      <w:tr w:rsidR="00445720" w:rsidRPr="00262ACD" w:rsidTr="00445720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Informacja na stronie www LGD, na stronach gmin i powiatu wchodzących w skład LGD a także na portalach społecznościowych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2 informacje w ramach każdego naboru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</w:tr>
      <w:tr w:rsidR="00445720" w:rsidRPr="00262ACD" w:rsidTr="00445720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Rozsyłanie informacji pocztą elektroniczną (newsletter LGD)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1 newsletter, min. 100 adresatów - w ramach każdego naboru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</w:tr>
      <w:tr w:rsidR="00445720" w:rsidRPr="00262ACD" w:rsidTr="00445720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Ogłoszenia w siedzibach instytucji publicznych (GOPS-y, urzędy gmin, ośrodki kultury itp.)</w:t>
            </w:r>
          </w:p>
        </w:tc>
        <w:tc>
          <w:tcPr>
            <w:tcW w:w="1134" w:type="dxa"/>
            <w:shd w:val="clear" w:color="auto" w:fill="auto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1700</w:t>
            </w:r>
          </w:p>
        </w:tc>
        <w:tc>
          <w:tcPr>
            <w:tcW w:w="1843" w:type="dxa"/>
            <w:shd w:val="clear" w:color="auto" w:fill="auto"/>
          </w:tcPr>
          <w:p w:rsidR="00445720" w:rsidRPr="00D83372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5 lokalizacji – w ramach każdego naboru</w:t>
            </w:r>
          </w:p>
        </w:tc>
        <w:tc>
          <w:tcPr>
            <w:tcW w:w="2268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</w:tr>
      <w:tr w:rsidR="00445720" w:rsidRPr="00262ACD" w:rsidTr="00445720">
        <w:trPr>
          <w:trHeight w:val="1125"/>
        </w:trPr>
        <w:tc>
          <w:tcPr>
            <w:tcW w:w="113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Spotkania informacyjno-konsultacyjne LGD z mieszkańcami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6000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 xml:space="preserve">Minimum 8 spotkań w 1. roku naborów; </w:t>
            </w:r>
          </w:p>
          <w:p w:rsidR="00445720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lastRenderedPageBreak/>
              <w:t>Minimum 1 spotkanie – w ramach każdego naboru w pozostałych latach</w:t>
            </w:r>
          </w:p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highlight w:val="yellow"/>
                <w:lang w:eastAsia="pl-PL"/>
              </w:rPr>
            </w:pPr>
          </w:p>
        </w:tc>
      </w:tr>
      <w:tr w:rsidR="00445720" w:rsidRPr="00262ACD" w:rsidTr="00445720">
        <w:trPr>
          <w:trHeight w:val="40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I połowa 2019 i w kolejnych latach zgodnie z planem działania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Zapewnianie szerokiej akceptacji społecznej dla wdrażania LSR oraz upowszechnienie osiągniętych rezultatów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 xml:space="preserve">Prezentacja zrealizowanych operacji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Mieszkańcy obszaru LSR, władze publiczne, organizacje pozarządowe, przedsiębiorcy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Rozsyłanie informacji pocztą elektroniczną (newsletter LGD)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1 newsletter, min. 100 adresatów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Informacja zwrotna dotycząca liczby uczestników konferencji oraz w drodze ankiety</w:t>
            </w:r>
          </w:p>
        </w:tc>
      </w:tr>
      <w:tr w:rsidR="00445720" w:rsidRPr="00262ACD" w:rsidTr="00445720">
        <w:trPr>
          <w:trHeight w:val="408"/>
        </w:trPr>
        <w:tc>
          <w:tcPr>
            <w:tcW w:w="113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Informacja na stronie www LGD, a także na portalach społecznościowych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2 artykuły</w:t>
            </w:r>
          </w:p>
        </w:tc>
        <w:tc>
          <w:tcPr>
            <w:tcW w:w="2268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</w:tr>
      <w:tr w:rsidR="00445720" w:rsidRPr="00262ACD" w:rsidTr="00445720">
        <w:trPr>
          <w:trHeight w:val="408"/>
        </w:trPr>
        <w:tc>
          <w:tcPr>
            <w:tcW w:w="113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Publikacja na temat dobrych praktyk projektowych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5000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1 publikacja</w:t>
            </w:r>
          </w:p>
        </w:tc>
        <w:tc>
          <w:tcPr>
            <w:tcW w:w="2268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</w:tr>
      <w:tr w:rsidR="00445720" w:rsidRPr="00262ACD" w:rsidTr="00445720">
        <w:trPr>
          <w:trHeight w:val="408"/>
        </w:trPr>
        <w:tc>
          <w:tcPr>
            <w:tcW w:w="113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Konferencja LGD</w:t>
            </w:r>
          </w:p>
        </w:tc>
        <w:tc>
          <w:tcPr>
            <w:tcW w:w="1134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5000</w:t>
            </w:r>
          </w:p>
        </w:tc>
        <w:tc>
          <w:tcPr>
            <w:tcW w:w="1843" w:type="dxa"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  <w:r w:rsidRPr="00262ACD">
              <w:rPr>
                <w:rFonts w:eastAsia="Times New Roman"/>
                <w:lang w:eastAsia="pl-PL"/>
              </w:rPr>
              <w:t>Minimum 1 konferencja upowszechniająca dobre praktyki</w:t>
            </w:r>
          </w:p>
        </w:tc>
        <w:tc>
          <w:tcPr>
            <w:tcW w:w="2268" w:type="dxa"/>
            <w:vMerge/>
            <w:shd w:val="clear" w:color="auto" w:fill="auto"/>
          </w:tcPr>
          <w:p w:rsidR="00445720" w:rsidRPr="00262ACD" w:rsidRDefault="00445720" w:rsidP="002F5D2E">
            <w:pPr>
              <w:tabs>
                <w:tab w:val="left" w:pos="1929"/>
              </w:tabs>
              <w:rPr>
                <w:rFonts w:eastAsia="Times New Roman"/>
                <w:lang w:eastAsia="pl-PL"/>
              </w:rPr>
            </w:pPr>
          </w:p>
        </w:tc>
      </w:tr>
    </w:tbl>
    <w:p w:rsidR="009140D9" w:rsidRDefault="009140D9" w:rsidP="00445720"/>
    <w:sectPr w:rsidR="009140D9" w:rsidSect="00445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20"/>
    <w:rsid w:val="00007A9F"/>
    <w:rsid w:val="00445720"/>
    <w:rsid w:val="009140D9"/>
    <w:rsid w:val="0095539D"/>
    <w:rsid w:val="00D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ED09-DA5D-4991-93C2-6C17349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2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pmich</dc:creator>
  <cp:keywords/>
  <dc:description/>
  <cp:lastModifiedBy>LGD_1</cp:lastModifiedBy>
  <cp:revision>2</cp:revision>
  <dcterms:created xsi:type="dcterms:W3CDTF">2018-11-05T08:24:00Z</dcterms:created>
  <dcterms:modified xsi:type="dcterms:W3CDTF">2018-11-05T08:24:00Z</dcterms:modified>
</cp:coreProperties>
</file>